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26" w:rsidRDefault="00564AA3" w:rsidP="00F35A26">
      <w:pPr>
        <w:jc w:val="center"/>
        <w:rPr>
          <w:rFonts w:ascii="Calibri" w:eastAsia="標楷體" w:hAnsi="Calibri" w:cs="Calibri"/>
          <w:b/>
          <w:spacing w:val="-4"/>
          <w:kern w:val="0"/>
          <w:sz w:val="32"/>
        </w:rPr>
      </w:pPr>
      <w:r w:rsidRPr="00564AA3">
        <w:rPr>
          <w:rFonts w:ascii="Calibri" w:eastAsia="標楷體" w:hAnsi="Calibri" w:cs="Calibri" w:hint="eastAsia"/>
          <w:b/>
          <w:spacing w:val="-4"/>
          <w:kern w:val="0"/>
          <w:sz w:val="32"/>
        </w:rPr>
        <w:t>引領中小微型企業數位轉型戰略攻頂計畫</w:t>
      </w:r>
      <w:r w:rsidR="00BB4CBD">
        <w:rPr>
          <w:rFonts w:ascii="Calibri" w:eastAsia="標楷體" w:hAnsi="Calibri" w:cs="Calibri" w:hint="eastAsia"/>
          <w:b/>
          <w:spacing w:val="-4"/>
          <w:kern w:val="0"/>
          <w:sz w:val="32"/>
        </w:rPr>
        <w:t>預告</w:t>
      </w:r>
      <w:r w:rsidR="00F35A26" w:rsidRPr="00F35A26">
        <w:rPr>
          <w:rFonts w:ascii="Calibri" w:eastAsia="標楷體" w:hAnsi="Calibri" w:cs="Calibri" w:hint="eastAsia"/>
          <w:b/>
          <w:spacing w:val="-4"/>
          <w:kern w:val="0"/>
          <w:sz w:val="32"/>
        </w:rPr>
        <w:t>說明</w:t>
      </w:r>
    </w:p>
    <w:tbl>
      <w:tblPr>
        <w:tblStyle w:val="TableGrid"/>
        <w:tblW w:w="9989" w:type="dxa"/>
        <w:jc w:val="center"/>
        <w:tblInd w:w="0" w:type="dxa"/>
        <w:tblCellMar>
          <w:top w:w="88" w:type="dxa"/>
          <w:left w:w="40" w:type="dxa"/>
          <w:right w:w="69" w:type="dxa"/>
        </w:tblCellMar>
        <w:tblLook w:val="04A0" w:firstRow="1" w:lastRow="0" w:firstColumn="1" w:lastColumn="0" w:noHBand="0" w:noVBand="1"/>
      </w:tblPr>
      <w:tblGrid>
        <w:gridCol w:w="1711"/>
        <w:gridCol w:w="8278"/>
      </w:tblGrid>
      <w:tr w:rsidR="00EB2D91" w:rsidRPr="00EB2D91" w:rsidTr="007750EE">
        <w:trPr>
          <w:trHeight w:val="480"/>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adjustRightInd w:val="0"/>
              <w:spacing w:line="240" w:lineRule="exact"/>
              <w:jc w:val="center"/>
              <w:rPr>
                <w:rFonts w:ascii="Calibri" w:eastAsia="標楷體" w:hAnsi="Calibri" w:cs="Calibri"/>
                <w:spacing w:val="-4"/>
                <w:kern w:val="0"/>
              </w:rPr>
            </w:pPr>
            <w:r>
              <w:rPr>
                <w:rFonts w:ascii="標楷體" w:eastAsia="標楷體" w:hAnsi="標楷體" w:cs="Calibri"/>
                <w:kern w:val="0"/>
                <w:sz w:val="28"/>
                <w:szCs w:val="28"/>
              </w:rPr>
              <w:br w:type="page"/>
            </w:r>
            <w:r w:rsidRPr="00EB2D91">
              <w:rPr>
                <w:rFonts w:ascii="Calibri" w:eastAsia="標楷體" w:hAnsi="Calibri" w:cs="Times New Roman"/>
              </w:rPr>
              <w:t>計畫名稱</w:t>
            </w:r>
          </w:p>
        </w:tc>
        <w:tc>
          <w:tcPr>
            <w:tcW w:w="8278" w:type="dxa"/>
            <w:tcBorders>
              <w:top w:val="single" w:sz="4" w:space="0" w:color="000000"/>
              <w:left w:val="single" w:sz="4" w:space="0" w:color="000000"/>
              <w:bottom w:val="single" w:sz="4" w:space="0" w:color="000000"/>
              <w:right w:val="single" w:sz="4" w:space="0" w:color="000000"/>
            </w:tcBorders>
            <w:vAlign w:val="center"/>
          </w:tcPr>
          <w:p w:rsidR="00EB2D91" w:rsidRPr="00EB2D91" w:rsidRDefault="00C97DAA" w:rsidP="001951AC">
            <w:pPr>
              <w:spacing w:line="240" w:lineRule="exact"/>
              <w:rPr>
                <w:rFonts w:ascii="Calibri" w:eastAsia="標楷體" w:hAnsi="Calibri" w:cs="Calibri"/>
                <w:spacing w:val="-4"/>
                <w:kern w:val="0"/>
              </w:rPr>
            </w:pPr>
            <w:proofErr w:type="gramStart"/>
            <w:r w:rsidRPr="00DF1788">
              <w:rPr>
                <w:rFonts w:ascii="標楷體" w:eastAsia="標楷體" w:hAnsi="標楷體" w:cs="新細明體" w:hint="eastAsia"/>
                <w:color w:val="0000FF"/>
                <w:kern w:val="0"/>
              </w:rPr>
              <w:t>110</w:t>
            </w:r>
            <w:proofErr w:type="gramEnd"/>
            <w:r w:rsidRPr="00DF1788">
              <w:rPr>
                <w:rFonts w:ascii="標楷體" w:eastAsia="標楷體" w:hAnsi="標楷體" w:cs="新細明體" w:hint="eastAsia"/>
                <w:color w:val="0000FF"/>
                <w:kern w:val="0"/>
              </w:rPr>
              <w:t>年度「引領中小微型企業數位轉型戰略攻頂計畫」</w:t>
            </w:r>
          </w:p>
        </w:tc>
      </w:tr>
      <w:tr w:rsidR="00EB2D91" w:rsidRPr="00EB2D91" w:rsidTr="007750EE">
        <w:trPr>
          <w:trHeight w:val="1031"/>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政策依據</w:t>
            </w:r>
          </w:p>
        </w:tc>
        <w:tc>
          <w:tcPr>
            <w:tcW w:w="8278" w:type="dxa"/>
            <w:tcBorders>
              <w:top w:val="single" w:sz="4" w:space="0" w:color="000000"/>
              <w:left w:val="single" w:sz="4" w:space="0" w:color="000000"/>
              <w:bottom w:val="single" w:sz="4" w:space="0" w:color="000000"/>
              <w:right w:val="single" w:sz="4" w:space="0" w:color="000000"/>
            </w:tcBorders>
          </w:tcPr>
          <w:p w:rsidR="00A801B2" w:rsidRPr="00A801B2" w:rsidRDefault="00A801B2" w:rsidP="00A801B2">
            <w:pPr>
              <w:widowControl/>
              <w:spacing w:line="300" w:lineRule="exact"/>
              <w:rPr>
                <w:rFonts w:eastAsia="標楷體"/>
                <w:color w:val="0000FF"/>
              </w:rPr>
            </w:pPr>
            <w:r w:rsidRPr="00A801B2">
              <w:rPr>
                <w:rFonts w:eastAsia="標楷體" w:hint="eastAsia"/>
                <w:color w:val="0000FF"/>
              </w:rPr>
              <w:t>1.FIDP-20170205040000</w:t>
            </w:r>
            <w:r w:rsidRPr="00A801B2">
              <w:rPr>
                <w:rFonts w:eastAsia="標楷體" w:hint="eastAsia"/>
                <w:color w:val="0000FF"/>
              </w:rPr>
              <w:t>：前瞻基礎建設計畫：</w:t>
            </w:r>
            <w:r w:rsidRPr="00A801B2">
              <w:rPr>
                <w:rFonts w:eastAsia="標楷體" w:hint="eastAsia"/>
                <w:color w:val="0000FF"/>
              </w:rPr>
              <w:t xml:space="preserve">5.4 </w:t>
            </w:r>
            <w:r w:rsidRPr="00A801B2">
              <w:rPr>
                <w:rFonts w:eastAsia="標楷體" w:hint="eastAsia"/>
                <w:color w:val="0000FF"/>
              </w:rPr>
              <w:t>建構雲端服務及大數據運算平台。</w:t>
            </w:r>
          </w:p>
          <w:p w:rsidR="00A801B2" w:rsidRPr="00A801B2" w:rsidRDefault="00A801B2" w:rsidP="00A801B2">
            <w:pPr>
              <w:widowControl/>
              <w:spacing w:line="300" w:lineRule="exact"/>
              <w:rPr>
                <w:rFonts w:eastAsia="標楷體"/>
                <w:color w:val="0000FF"/>
              </w:rPr>
            </w:pPr>
            <w:r w:rsidRPr="00A801B2">
              <w:rPr>
                <w:rFonts w:eastAsia="標楷體" w:hint="eastAsia"/>
                <w:color w:val="0000FF"/>
              </w:rPr>
              <w:t>2.</w:t>
            </w:r>
            <w:r w:rsidRPr="00A801B2">
              <w:rPr>
                <w:rFonts w:eastAsia="標楷體" w:hint="eastAsia"/>
                <w:color w:val="0000FF"/>
              </w:rPr>
              <w:t>依據</w:t>
            </w:r>
            <w:r w:rsidRPr="00A801B2">
              <w:rPr>
                <w:rFonts w:eastAsia="標楷體" w:hint="eastAsia"/>
                <w:color w:val="0000FF"/>
              </w:rPr>
              <w:t xml:space="preserve">108 </w:t>
            </w:r>
            <w:r w:rsidRPr="00A801B2">
              <w:rPr>
                <w:rFonts w:eastAsia="標楷體" w:hint="eastAsia"/>
                <w:color w:val="0000FF"/>
              </w:rPr>
              <w:t>年</w:t>
            </w:r>
            <w:r w:rsidRPr="00A801B2">
              <w:rPr>
                <w:rFonts w:eastAsia="標楷體" w:hint="eastAsia"/>
                <w:color w:val="0000FF"/>
              </w:rPr>
              <w:t xml:space="preserve"> 11 </w:t>
            </w:r>
            <w:r w:rsidRPr="00A801B2">
              <w:rPr>
                <w:rFonts w:eastAsia="標楷體" w:hint="eastAsia"/>
                <w:color w:val="0000FF"/>
              </w:rPr>
              <w:t>月</w:t>
            </w:r>
            <w:r w:rsidRPr="00A801B2">
              <w:rPr>
                <w:rFonts w:eastAsia="標楷體" w:hint="eastAsia"/>
                <w:color w:val="0000FF"/>
              </w:rPr>
              <w:t xml:space="preserve"> 4 </w:t>
            </w:r>
            <w:r w:rsidRPr="00A801B2">
              <w:rPr>
                <w:rFonts w:eastAsia="標楷體" w:hint="eastAsia"/>
                <w:color w:val="0000FF"/>
              </w:rPr>
              <w:t>日由蘇院長主持「行政院科技會報第</w:t>
            </w:r>
            <w:r w:rsidRPr="00A801B2">
              <w:rPr>
                <w:rFonts w:eastAsia="標楷體" w:hint="eastAsia"/>
                <w:color w:val="0000FF"/>
              </w:rPr>
              <w:t xml:space="preserve"> 17 </w:t>
            </w:r>
            <w:r w:rsidRPr="00A801B2">
              <w:rPr>
                <w:rFonts w:eastAsia="標楷體" w:hint="eastAsia"/>
                <w:color w:val="0000FF"/>
              </w:rPr>
              <w:t>次會議」，建議應掌握與因應數位經濟與</w:t>
            </w:r>
            <w:r w:rsidRPr="00A801B2">
              <w:rPr>
                <w:rFonts w:eastAsia="標楷體" w:hint="eastAsia"/>
                <w:color w:val="0000FF"/>
              </w:rPr>
              <w:t>AI</w:t>
            </w:r>
            <w:r w:rsidRPr="00A801B2">
              <w:rPr>
                <w:rFonts w:eastAsia="標楷體" w:hint="eastAsia"/>
                <w:color w:val="0000FF"/>
              </w:rPr>
              <w:t>興起帶來之社會影響</w:t>
            </w:r>
            <w:r w:rsidRPr="00A801B2">
              <w:rPr>
                <w:rFonts w:eastAsia="標楷體" w:hint="eastAsia"/>
                <w:color w:val="0000FF"/>
              </w:rPr>
              <w:t>(</w:t>
            </w:r>
            <w:r w:rsidRPr="00A801B2">
              <w:rPr>
                <w:rFonts w:eastAsia="標楷體" w:hint="eastAsia"/>
                <w:color w:val="0000FF"/>
              </w:rPr>
              <w:t>如科技性失業與貧富差</w:t>
            </w:r>
            <w:r w:rsidRPr="00A801B2">
              <w:rPr>
                <w:rFonts w:eastAsia="標楷體" w:hint="eastAsia"/>
                <w:color w:val="0000FF"/>
              </w:rPr>
              <w:t xml:space="preserve"> </w:t>
            </w:r>
            <w:r w:rsidRPr="00A801B2">
              <w:rPr>
                <w:rFonts w:eastAsia="標楷體" w:hint="eastAsia"/>
                <w:color w:val="0000FF"/>
              </w:rPr>
              <w:t>距問題</w:t>
            </w:r>
            <w:r w:rsidRPr="00A801B2">
              <w:rPr>
                <w:rFonts w:eastAsia="標楷體" w:hint="eastAsia"/>
                <w:color w:val="0000FF"/>
              </w:rPr>
              <w:t>)</w:t>
            </w:r>
            <w:r w:rsidRPr="00A801B2">
              <w:rPr>
                <w:rFonts w:eastAsia="標楷體" w:hint="eastAsia"/>
                <w:color w:val="0000FF"/>
              </w:rPr>
              <w:t>，並重視中小企業數位轉型議題，協助中小企業因應新興科技帶來的社經衝擊。</w:t>
            </w:r>
            <w:r w:rsidRPr="00A801B2">
              <w:rPr>
                <w:rFonts w:eastAsia="標楷體" w:hint="eastAsia"/>
                <w:color w:val="0000FF"/>
              </w:rPr>
              <w:t xml:space="preserve"> </w:t>
            </w:r>
          </w:p>
          <w:p w:rsidR="00EB2D91" w:rsidRPr="00EB2D91" w:rsidRDefault="00A801B2" w:rsidP="00A801B2">
            <w:pPr>
              <w:widowControl/>
              <w:spacing w:line="300" w:lineRule="exact"/>
              <w:rPr>
                <w:rFonts w:eastAsia="標楷體"/>
              </w:rPr>
            </w:pPr>
            <w:r w:rsidRPr="00A801B2">
              <w:rPr>
                <w:rFonts w:eastAsia="標楷體" w:hint="eastAsia"/>
                <w:color w:val="0000FF"/>
              </w:rPr>
              <w:t>3.</w:t>
            </w:r>
            <w:r w:rsidR="00B27FC4" w:rsidRPr="00B27FC4">
              <w:rPr>
                <w:rFonts w:eastAsia="標楷體"/>
                <w:color w:val="0000FF"/>
              </w:rPr>
              <w:t>行政院科技會報</w:t>
            </w:r>
            <w:proofErr w:type="gramStart"/>
            <w:r w:rsidR="00B27FC4" w:rsidRPr="00B27FC4">
              <w:rPr>
                <w:rFonts w:eastAsia="標楷體"/>
                <w:color w:val="0000FF"/>
              </w:rPr>
              <w:t>110</w:t>
            </w:r>
            <w:proofErr w:type="gramEnd"/>
            <w:r w:rsidR="00B27FC4" w:rsidRPr="00B27FC4">
              <w:rPr>
                <w:rFonts w:eastAsia="標楷體"/>
                <w:color w:val="0000FF"/>
              </w:rPr>
              <w:t>年度科技計畫</w:t>
            </w:r>
            <w:r w:rsidR="00B27FC4" w:rsidRPr="00B27FC4">
              <w:rPr>
                <w:rFonts w:eastAsia="標楷體"/>
                <w:color w:val="0000FF"/>
              </w:rPr>
              <w:t>Top-down</w:t>
            </w:r>
            <w:r w:rsidR="00B27FC4" w:rsidRPr="00B27FC4">
              <w:rPr>
                <w:rFonts w:eastAsia="標楷體"/>
                <w:color w:val="0000FF"/>
              </w:rPr>
              <w:t>雲世代產業數位轉型計畫</w:t>
            </w:r>
            <w:r w:rsidRPr="00A801B2">
              <w:rPr>
                <w:rFonts w:eastAsia="標楷體" w:hint="eastAsia"/>
                <w:color w:val="0000FF"/>
              </w:rPr>
              <w:t>。</w:t>
            </w:r>
          </w:p>
        </w:tc>
      </w:tr>
      <w:tr w:rsidR="00EB2D91" w:rsidRPr="00EB2D91" w:rsidTr="007750EE">
        <w:trPr>
          <w:trHeight w:val="475"/>
          <w:jc w:val="center"/>
        </w:trPr>
        <w:tc>
          <w:tcPr>
            <w:tcW w:w="1711" w:type="dxa"/>
            <w:tcBorders>
              <w:top w:val="single" w:sz="4" w:space="0" w:color="000000"/>
              <w:left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rPr>
            </w:pPr>
            <w:r w:rsidRPr="00EB2D91">
              <w:rPr>
                <w:rFonts w:ascii="Calibri" w:eastAsia="標楷體" w:hAnsi="Calibri"/>
              </w:rPr>
              <w:t>預</w:t>
            </w:r>
            <w:r w:rsidRPr="00EB2D91">
              <w:rPr>
                <w:rFonts w:ascii="Calibri" w:eastAsia="標楷體" w:hAnsi="Calibri" w:hint="eastAsia"/>
              </w:rPr>
              <w:t>算額度</w:t>
            </w:r>
          </w:p>
        </w:tc>
        <w:tc>
          <w:tcPr>
            <w:tcW w:w="8278" w:type="dxa"/>
            <w:tcBorders>
              <w:top w:val="single" w:sz="4" w:space="0" w:color="000000"/>
              <w:left w:val="single" w:sz="4" w:space="0" w:color="000000"/>
              <w:right w:val="single" w:sz="4" w:space="0" w:color="000000"/>
            </w:tcBorders>
            <w:shd w:val="clear" w:color="auto" w:fill="auto"/>
            <w:vAlign w:val="center"/>
          </w:tcPr>
          <w:p w:rsidR="00EB2D91" w:rsidRPr="00EB2D91" w:rsidRDefault="001951AC" w:rsidP="00DE01F0">
            <w:pPr>
              <w:spacing w:line="259" w:lineRule="auto"/>
              <w:ind w:left="29"/>
              <w:rPr>
                <w:rFonts w:ascii="Calibri" w:eastAsia="標楷體" w:hAnsi="Calibri"/>
              </w:rPr>
            </w:pPr>
            <w:r w:rsidRPr="00DE01F0">
              <w:rPr>
                <w:rFonts w:eastAsia="標楷體" w:hint="eastAsia"/>
                <w:color w:val="0000FF"/>
              </w:rPr>
              <w:t>1</w:t>
            </w:r>
            <w:r w:rsidR="00B27FC4" w:rsidRPr="00DE01F0">
              <w:rPr>
                <w:rFonts w:eastAsia="標楷體" w:hint="eastAsia"/>
                <w:color w:val="0000FF"/>
              </w:rPr>
              <w:t>10~11</w:t>
            </w:r>
            <w:r w:rsidR="00696CB2" w:rsidRPr="00DE01F0">
              <w:rPr>
                <w:rFonts w:eastAsia="標楷體" w:hint="eastAsia"/>
                <w:color w:val="0000FF"/>
              </w:rPr>
              <w:t>4</w:t>
            </w:r>
            <w:r w:rsidR="00EB2D91" w:rsidRPr="00DE01F0">
              <w:rPr>
                <w:rFonts w:eastAsia="標楷體" w:hint="eastAsia"/>
                <w:color w:val="0000FF"/>
              </w:rPr>
              <w:t>年預算</w:t>
            </w:r>
            <w:r w:rsidR="00696CB2" w:rsidRPr="00DE01F0">
              <w:rPr>
                <w:rFonts w:eastAsia="標楷體" w:hint="eastAsia"/>
                <w:color w:val="0000FF"/>
              </w:rPr>
              <w:t>36</w:t>
            </w:r>
            <w:r w:rsidR="00EA7783" w:rsidRPr="00DE01F0">
              <w:rPr>
                <w:rFonts w:eastAsia="標楷體" w:hint="eastAsia"/>
                <w:color w:val="0000FF"/>
              </w:rPr>
              <w:t>億</w:t>
            </w:r>
            <w:r w:rsidR="00EB2D91" w:rsidRPr="00DE01F0">
              <w:rPr>
                <w:rFonts w:eastAsia="標楷體" w:hint="eastAsia"/>
                <w:color w:val="0000FF"/>
              </w:rPr>
              <w:t>元</w:t>
            </w:r>
            <w:r w:rsidR="00696CB2" w:rsidRPr="00DE01F0">
              <w:rPr>
                <w:rFonts w:eastAsia="標楷體" w:hint="eastAsia"/>
                <w:color w:val="0000FF"/>
              </w:rPr>
              <w:t>，其中</w:t>
            </w:r>
            <w:r w:rsidR="00696CB2" w:rsidRPr="00DE01F0">
              <w:rPr>
                <w:rFonts w:eastAsia="標楷體" w:hint="eastAsia"/>
                <w:color w:val="0000FF"/>
              </w:rPr>
              <w:t>110~111</w:t>
            </w:r>
            <w:r w:rsidR="00696CB2" w:rsidRPr="00DE01F0">
              <w:rPr>
                <w:rFonts w:eastAsia="標楷體" w:hint="eastAsia"/>
                <w:color w:val="0000FF"/>
              </w:rPr>
              <w:t>年政府委辦費</w:t>
            </w:r>
            <w:r w:rsidR="00696CB2" w:rsidRPr="00DE01F0">
              <w:rPr>
                <w:rFonts w:eastAsia="標楷體" w:hint="eastAsia"/>
                <w:color w:val="0000FF"/>
              </w:rPr>
              <w:t>6</w:t>
            </w:r>
            <w:r w:rsidR="00696CB2" w:rsidRPr="00DE01F0">
              <w:rPr>
                <w:rFonts w:eastAsia="標楷體" w:hint="eastAsia"/>
                <w:color w:val="0000FF"/>
              </w:rPr>
              <w:t>億</w:t>
            </w:r>
            <w:r w:rsidR="00696CB2" w:rsidRPr="00DE01F0">
              <w:rPr>
                <w:rFonts w:eastAsia="標楷體" w:hint="eastAsia"/>
                <w:color w:val="0000FF"/>
              </w:rPr>
              <w:t>1,2</w:t>
            </w:r>
            <w:r w:rsidR="00696CB2" w:rsidRPr="00DE01F0">
              <w:rPr>
                <w:rFonts w:eastAsia="標楷體" w:hint="eastAsia"/>
                <w:color w:val="0000FF"/>
              </w:rPr>
              <w:t>00</w:t>
            </w:r>
            <w:r w:rsidR="00696CB2" w:rsidRPr="00DE01F0">
              <w:rPr>
                <w:rFonts w:eastAsia="標楷體" w:hint="eastAsia"/>
                <w:color w:val="0000FF"/>
              </w:rPr>
              <w:t>萬元、</w:t>
            </w:r>
            <w:r w:rsidR="00696CB2" w:rsidRPr="00DE01F0">
              <w:rPr>
                <w:rFonts w:eastAsia="標楷體" w:hint="eastAsia"/>
                <w:color w:val="0000FF"/>
              </w:rPr>
              <w:t>代管補助款</w:t>
            </w:r>
            <w:r w:rsidR="00696CB2" w:rsidRPr="00DE01F0">
              <w:rPr>
                <w:rFonts w:eastAsia="標楷體" w:hint="eastAsia"/>
                <w:color w:val="0000FF"/>
              </w:rPr>
              <w:t>8</w:t>
            </w:r>
            <w:r w:rsidR="00696CB2" w:rsidRPr="00DE01F0">
              <w:rPr>
                <w:rFonts w:eastAsia="標楷體" w:hint="eastAsia"/>
                <w:color w:val="0000FF"/>
              </w:rPr>
              <w:t>億</w:t>
            </w:r>
            <w:r w:rsidR="00696CB2" w:rsidRPr="00DE01F0">
              <w:rPr>
                <w:rFonts w:eastAsia="標楷體" w:hint="eastAsia"/>
                <w:color w:val="0000FF"/>
              </w:rPr>
              <w:t>8</w:t>
            </w:r>
            <w:r w:rsidR="00696CB2" w:rsidRPr="00DE01F0">
              <w:rPr>
                <w:rFonts w:eastAsia="標楷體" w:hint="eastAsia"/>
                <w:color w:val="0000FF"/>
              </w:rPr>
              <w:t>,</w:t>
            </w:r>
            <w:r w:rsidR="00696CB2" w:rsidRPr="00DE01F0">
              <w:rPr>
                <w:rFonts w:eastAsia="標楷體" w:hint="eastAsia"/>
                <w:color w:val="0000FF"/>
              </w:rPr>
              <w:t>800</w:t>
            </w:r>
            <w:r w:rsidR="00696CB2" w:rsidRPr="00DE01F0">
              <w:rPr>
                <w:rFonts w:eastAsia="標楷體" w:hint="eastAsia"/>
                <w:color w:val="0000FF"/>
              </w:rPr>
              <w:t>萬元，</w:t>
            </w:r>
            <w:r w:rsidR="00696CB2" w:rsidRPr="00DE01F0">
              <w:rPr>
                <w:rFonts w:eastAsia="標楷體" w:hint="eastAsia"/>
                <w:color w:val="0000FF"/>
              </w:rPr>
              <w:t>112</w:t>
            </w:r>
            <w:r w:rsidR="00696CB2" w:rsidRPr="00DE01F0">
              <w:rPr>
                <w:rFonts w:eastAsia="標楷體" w:hint="eastAsia"/>
                <w:color w:val="0000FF"/>
              </w:rPr>
              <w:t>年</w:t>
            </w:r>
            <w:r w:rsidR="00DE01F0">
              <w:rPr>
                <w:rFonts w:eastAsia="標楷體" w:hint="eastAsia"/>
                <w:color w:val="0000FF"/>
              </w:rPr>
              <w:t>以後年度</w:t>
            </w:r>
            <w:r w:rsidR="00696CB2" w:rsidRPr="00DE01F0">
              <w:rPr>
                <w:rFonts w:eastAsia="標楷體" w:hint="eastAsia"/>
                <w:color w:val="0000FF"/>
              </w:rPr>
              <w:t>視當年度經費審議結果編列</w:t>
            </w:r>
            <w:r w:rsidR="00DE01F0" w:rsidRPr="00A801B2">
              <w:rPr>
                <w:rFonts w:eastAsia="標楷體" w:hint="eastAsia"/>
                <w:color w:val="0000FF"/>
              </w:rPr>
              <w:t>。</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施政項目</w:t>
            </w:r>
          </w:p>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定位及功能</w:t>
            </w:r>
          </w:p>
        </w:tc>
        <w:tc>
          <w:tcPr>
            <w:tcW w:w="8278" w:type="dxa"/>
            <w:tcBorders>
              <w:top w:val="single" w:sz="4" w:space="0" w:color="000000"/>
              <w:left w:val="single" w:sz="4" w:space="0" w:color="000000"/>
              <w:bottom w:val="single" w:sz="4" w:space="0" w:color="000000"/>
              <w:right w:val="single" w:sz="4" w:space="0" w:color="000000"/>
            </w:tcBorders>
            <w:vAlign w:val="center"/>
          </w:tcPr>
          <w:p w:rsidR="00EB2D91" w:rsidRPr="007750EE" w:rsidRDefault="00B27FC4" w:rsidP="00AE5D1C">
            <w:pPr>
              <w:spacing w:line="300" w:lineRule="exact"/>
              <w:rPr>
                <w:rFonts w:eastAsia="標楷體" w:cs="Calibri"/>
                <w:kern w:val="0"/>
              </w:rPr>
            </w:pPr>
            <w:r w:rsidRPr="00B27FC4">
              <w:rPr>
                <w:rFonts w:eastAsia="標楷體" w:hint="eastAsia"/>
                <w:color w:val="0000FF"/>
              </w:rPr>
              <w:t>透過「政策規劃與評估」</w:t>
            </w:r>
            <w:r>
              <w:rPr>
                <w:rFonts w:eastAsia="標楷體" w:hint="eastAsia"/>
                <w:color w:val="0000FF"/>
              </w:rPr>
              <w:t>、「資源統整與管理」、「任務型議題推動」三大施政項目相互回饋、</w:t>
            </w:r>
            <w:r w:rsidRPr="00B27FC4">
              <w:rPr>
                <w:rFonts w:eastAsia="標楷體" w:hint="eastAsia"/>
                <w:color w:val="0000FF"/>
              </w:rPr>
              <w:t>滾動調整的平行溝通協調方式來落實整體中小企業數位轉型目標，確保中小企業轉型後的具體、可衡量價值，並確保數據與經驗累積、加值與擴散</w:t>
            </w:r>
            <w:r w:rsidRPr="00B27FC4">
              <w:rPr>
                <w:rFonts w:eastAsia="標楷體"/>
                <w:color w:val="0000FF"/>
              </w:rPr>
              <w:t>。</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重點描述</w:t>
            </w:r>
          </w:p>
        </w:tc>
        <w:tc>
          <w:tcPr>
            <w:tcW w:w="8278" w:type="dxa"/>
            <w:tcBorders>
              <w:top w:val="single" w:sz="4" w:space="0" w:color="000000"/>
              <w:left w:val="single" w:sz="4" w:space="0" w:color="000000"/>
              <w:bottom w:val="single" w:sz="4" w:space="0" w:color="auto"/>
              <w:right w:val="single" w:sz="4" w:space="0" w:color="000000"/>
            </w:tcBorders>
            <w:vAlign w:val="center"/>
          </w:tcPr>
          <w:p w:rsidR="00B27FC4" w:rsidRPr="00B27FC4" w:rsidRDefault="00B27FC4" w:rsidP="00B27FC4">
            <w:pPr>
              <w:pStyle w:val="a3"/>
              <w:numPr>
                <w:ilvl w:val="0"/>
                <w:numId w:val="7"/>
              </w:numPr>
              <w:spacing w:line="300" w:lineRule="exact"/>
              <w:ind w:leftChars="0"/>
              <w:rPr>
                <w:rFonts w:asciiTheme="minorHAnsi" w:eastAsia="標楷體" w:hAnsiTheme="minorHAnsi" w:cstheme="minorBidi"/>
                <w:color w:val="0000FF"/>
              </w:rPr>
            </w:pPr>
            <w:r w:rsidRPr="00B27FC4">
              <w:rPr>
                <w:rFonts w:asciiTheme="minorHAnsi" w:eastAsia="標楷體" w:hAnsiTheme="minorHAnsi" w:cstheme="minorBidi"/>
                <w:color w:val="0000FF"/>
              </w:rPr>
              <w:t>掌握計畫品質方向：確保「雲世代產業數位轉型」各小組專案執行符合整體戰略。整合與協調所有必要資源、方法論、工具，並促使跨團隊共享交流。</w:t>
            </w:r>
          </w:p>
          <w:p w:rsidR="00B27FC4" w:rsidRPr="00B27FC4" w:rsidRDefault="00B27FC4" w:rsidP="00B27FC4">
            <w:pPr>
              <w:pStyle w:val="a3"/>
              <w:numPr>
                <w:ilvl w:val="0"/>
                <w:numId w:val="7"/>
              </w:numPr>
              <w:spacing w:line="300" w:lineRule="exact"/>
              <w:ind w:leftChars="0"/>
              <w:rPr>
                <w:rFonts w:asciiTheme="minorHAnsi" w:eastAsia="標楷體" w:hAnsiTheme="minorHAnsi" w:cstheme="minorBidi"/>
                <w:color w:val="0000FF"/>
              </w:rPr>
            </w:pPr>
            <w:proofErr w:type="gramStart"/>
            <w:r w:rsidRPr="00B27FC4">
              <w:rPr>
                <w:rFonts w:asciiTheme="minorHAnsi" w:eastAsia="標楷體" w:hAnsiTheme="minorHAnsi" w:cstheme="minorBidi"/>
                <w:color w:val="0000FF"/>
              </w:rPr>
              <w:t>建構基盤</w:t>
            </w:r>
            <w:proofErr w:type="gramEnd"/>
            <w:r w:rsidRPr="00B27FC4">
              <w:rPr>
                <w:rFonts w:asciiTheme="minorHAnsi" w:eastAsia="標楷體" w:hAnsiTheme="minorHAnsi" w:cstheme="minorBidi"/>
                <w:color w:val="0000FF"/>
              </w:rPr>
              <w:t>擴散應用：建立計畫管理及資源發放資訊基盤，掌握企業申請計畫履歷及執行狀況，未來並可擴散到其他計畫使用。</w:t>
            </w:r>
          </w:p>
          <w:p w:rsidR="00B27FC4" w:rsidRPr="00B27FC4" w:rsidRDefault="00B27FC4" w:rsidP="00B27FC4">
            <w:pPr>
              <w:pStyle w:val="a3"/>
              <w:numPr>
                <w:ilvl w:val="0"/>
                <w:numId w:val="7"/>
              </w:numPr>
              <w:spacing w:line="300" w:lineRule="exact"/>
              <w:ind w:leftChars="0"/>
              <w:rPr>
                <w:rFonts w:asciiTheme="minorHAnsi" w:eastAsia="標楷體" w:hAnsiTheme="minorHAnsi" w:cstheme="minorBidi"/>
                <w:color w:val="0000FF"/>
              </w:rPr>
            </w:pPr>
            <w:r w:rsidRPr="00B27FC4">
              <w:rPr>
                <w:rFonts w:asciiTheme="minorHAnsi" w:eastAsia="標楷體" w:hAnsiTheme="minorHAnsi" w:cstheme="minorBidi"/>
                <w:color w:val="0000FF"/>
              </w:rPr>
              <w:t>回饋分析超前佈署：將建立之資料結合智庫之能量可針對企業及產業進行分析，看出資源投入缺口及投入產出效益，滾動式精進或進行超前佈署。</w:t>
            </w:r>
          </w:p>
          <w:p w:rsidR="00B27FC4" w:rsidRPr="00B27FC4" w:rsidRDefault="00B27FC4" w:rsidP="00B27FC4">
            <w:pPr>
              <w:pStyle w:val="a3"/>
              <w:numPr>
                <w:ilvl w:val="0"/>
                <w:numId w:val="7"/>
              </w:numPr>
              <w:spacing w:line="300" w:lineRule="exact"/>
              <w:ind w:leftChars="0"/>
              <w:rPr>
                <w:rFonts w:asciiTheme="minorHAnsi" w:eastAsia="標楷體" w:hAnsiTheme="minorHAnsi" w:cstheme="minorBidi"/>
                <w:color w:val="0000FF"/>
              </w:rPr>
            </w:pPr>
            <w:r w:rsidRPr="00B27FC4">
              <w:rPr>
                <w:rFonts w:asciiTheme="minorHAnsi" w:eastAsia="標楷體" w:hAnsiTheme="minorHAnsi" w:cstheme="minorBidi"/>
                <w:color w:val="0000FF"/>
              </w:rPr>
              <w:t>擴散台灣典範案例：建構典範案例教案並進行推廣擴散，對內讓台灣其他中小企業效法學習，對外宣揚、輸出台灣案例促進商機。</w:t>
            </w:r>
          </w:p>
          <w:p w:rsidR="00095BCE" w:rsidRPr="00B27FC4" w:rsidRDefault="00B27FC4" w:rsidP="00B27FC4">
            <w:pPr>
              <w:pStyle w:val="a3"/>
              <w:numPr>
                <w:ilvl w:val="0"/>
                <w:numId w:val="7"/>
              </w:numPr>
              <w:spacing w:line="300" w:lineRule="exact"/>
              <w:ind w:leftChars="0"/>
              <w:rPr>
                <w:rFonts w:asciiTheme="minorHAnsi" w:eastAsia="標楷體" w:hAnsiTheme="minorHAnsi" w:cstheme="minorBidi"/>
                <w:color w:val="0000FF"/>
              </w:rPr>
            </w:pPr>
            <w:r w:rsidRPr="00B27FC4">
              <w:rPr>
                <w:rFonts w:asciiTheme="minorHAnsi" w:eastAsia="標楷體" w:hAnsiTheme="minorHAnsi" w:cstheme="minorBidi" w:hint="eastAsia"/>
                <w:color w:val="0000FF"/>
              </w:rPr>
              <w:t>數位青年招募培育</w:t>
            </w:r>
            <w:r w:rsidRPr="00B27FC4">
              <w:rPr>
                <w:rFonts w:asciiTheme="minorHAnsi" w:eastAsia="標楷體" w:hAnsiTheme="minorHAnsi" w:cstheme="minorBidi"/>
                <w:color w:val="0000FF"/>
              </w:rPr>
              <w:t>：</w:t>
            </w:r>
            <w:r w:rsidRPr="00B27FC4">
              <w:rPr>
                <w:rFonts w:asciiTheme="minorHAnsi" w:eastAsia="標楷體" w:hAnsiTheme="minorHAnsi" w:cstheme="minorBidi" w:hint="eastAsia"/>
                <w:color w:val="0000FF"/>
              </w:rPr>
              <w:t>培育高質量數位轉型人才</w:t>
            </w:r>
            <w:r w:rsidRPr="00B27FC4">
              <w:rPr>
                <w:rFonts w:asciiTheme="minorHAnsi" w:eastAsia="標楷體" w:hAnsiTheme="minorHAnsi" w:cstheme="minorBidi"/>
                <w:color w:val="0000FF"/>
              </w:rPr>
              <w:t>，</w:t>
            </w:r>
            <w:r w:rsidRPr="00B27FC4">
              <w:rPr>
                <w:rFonts w:asciiTheme="minorHAnsi" w:eastAsia="標楷體" w:hAnsiTheme="minorHAnsi" w:cstheme="minorBidi" w:hint="eastAsia"/>
                <w:color w:val="0000FF"/>
              </w:rPr>
              <w:t>以數位青年協作輔導團公私協力方式協助中小微企業數位轉型</w:t>
            </w:r>
            <w:r w:rsidRPr="00B27FC4">
              <w:rPr>
                <w:rFonts w:asciiTheme="minorHAnsi" w:eastAsia="標楷體" w:hAnsiTheme="minorHAnsi" w:cstheme="minorBidi"/>
                <w:color w:val="0000FF"/>
              </w:rPr>
              <w:t>，</w:t>
            </w:r>
            <w:r w:rsidRPr="00B27FC4">
              <w:rPr>
                <w:rFonts w:asciiTheme="minorHAnsi" w:eastAsia="標楷體" w:hAnsiTheme="minorHAnsi" w:cstheme="minorBidi" w:hint="eastAsia"/>
                <w:color w:val="0000FF"/>
              </w:rPr>
              <w:t>同時解決青年失業及產業缺乏輔導人才之議題</w:t>
            </w:r>
            <w:r w:rsidRPr="00B27FC4">
              <w:rPr>
                <w:rFonts w:asciiTheme="minorHAnsi" w:eastAsia="標楷體" w:hAnsiTheme="minorHAnsi" w:cstheme="minorBidi"/>
                <w:color w:val="0000FF"/>
              </w:rPr>
              <w:t>。</w:t>
            </w:r>
          </w:p>
        </w:tc>
      </w:tr>
      <w:tr w:rsidR="00EB2D91" w:rsidRPr="00EB2D91" w:rsidTr="00BB4CBD">
        <w:trPr>
          <w:trHeight w:val="1012"/>
          <w:jc w:val="center"/>
        </w:trPr>
        <w:tc>
          <w:tcPr>
            <w:tcW w:w="1711"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DC557F">
            <w:pPr>
              <w:spacing w:line="259" w:lineRule="auto"/>
              <w:ind w:left="29"/>
              <w:jc w:val="center"/>
              <w:rPr>
                <w:rFonts w:ascii="Calibri" w:eastAsia="標楷體" w:hAnsi="Calibri" w:cs="Times New Roman"/>
              </w:rPr>
            </w:pPr>
            <w:r w:rsidRPr="00EB2D91">
              <w:rPr>
                <w:rFonts w:ascii="Calibri" w:eastAsia="標楷體" w:hAnsi="Calibri" w:cs="Times New Roman"/>
              </w:rPr>
              <w:t>預期效益</w:t>
            </w:r>
          </w:p>
        </w:tc>
        <w:tc>
          <w:tcPr>
            <w:tcW w:w="8278" w:type="dxa"/>
            <w:tcBorders>
              <w:top w:val="single" w:sz="4" w:space="0" w:color="auto"/>
              <w:left w:val="single" w:sz="4" w:space="0" w:color="000000"/>
              <w:bottom w:val="single" w:sz="4" w:space="0" w:color="auto"/>
              <w:right w:val="single" w:sz="4" w:space="0" w:color="000000"/>
            </w:tcBorders>
          </w:tcPr>
          <w:p w:rsidR="007750EE" w:rsidRPr="00B27FC4" w:rsidRDefault="00B27FC4" w:rsidP="007750EE">
            <w:pPr>
              <w:pStyle w:val="a3"/>
              <w:numPr>
                <w:ilvl w:val="0"/>
                <w:numId w:val="11"/>
              </w:numPr>
              <w:spacing w:line="300" w:lineRule="exact"/>
              <w:ind w:leftChars="0"/>
              <w:rPr>
                <w:rFonts w:asciiTheme="minorHAnsi" w:eastAsia="標楷體" w:hAnsiTheme="minorHAnsi" w:cstheme="minorBidi"/>
                <w:color w:val="0000FF"/>
              </w:rPr>
            </w:pPr>
            <w:r w:rsidRPr="00B27FC4">
              <w:rPr>
                <w:rFonts w:asciiTheme="minorHAnsi" w:eastAsia="標楷體" w:hAnsiTheme="minorHAnsi" w:cstheme="minorBidi" w:hint="eastAsia"/>
                <w:color w:val="0000FF"/>
              </w:rPr>
              <w:t>精進計畫執行品質並發揮</w:t>
            </w:r>
            <w:proofErr w:type="gramStart"/>
            <w:r w:rsidRPr="00B27FC4">
              <w:rPr>
                <w:rFonts w:asciiTheme="minorHAnsi" w:eastAsia="標楷體" w:hAnsiTheme="minorHAnsi" w:cstheme="minorBidi" w:hint="eastAsia"/>
                <w:color w:val="0000FF"/>
              </w:rPr>
              <w:t>施政綜</w:t>
            </w:r>
            <w:proofErr w:type="gramEnd"/>
            <w:r w:rsidRPr="00B27FC4">
              <w:rPr>
                <w:rFonts w:asciiTheme="minorHAnsi" w:eastAsia="標楷體" w:hAnsiTheme="minorHAnsi" w:cstheme="minorBidi" w:hint="eastAsia"/>
                <w:color w:val="0000FF"/>
              </w:rPr>
              <w:t>效，確保中小企業轉型後具體、可衡量價值，及數據與經驗累積、加值與擴散</w:t>
            </w:r>
            <w:r>
              <w:rPr>
                <w:rFonts w:asciiTheme="minorHAnsi" w:eastAsia="標楷體" w:hAnsiTheme="minorHAnsi" w:cstheme="minorBidi" w:hint="eastAsia"/>
                <w:color w:val="0000FF"/>
              </w:rPr>
              <w:t>。</w:t>
            </w:r>
          </w:p>
          <w:p w:rsidR="007750EE" w:rsidRPr="007750EE" w:rsidRDefault="00B27FC4" w:rsidP="007750EE">
            <w:pPr>
              <w:pStyle w:val="a3"/>
              <w:numPr>
                <w:ilvl w:val="0"/>
                <w:numId w:val="11"/>
              </w:numPr>
              <w:spacing w:line="300" w:lineRule="exact"/>
              <w:ind w:leftChars="0"/>
              <w:rPr>
                <w:rFonts w:ascii="標楷體" w:eastAsia="標楷體" w:hAnsi="標楷體" w:cs="Calibri"/>
                <w:color w:val="0000FF"/>
                <w:kern w:val="0"/>
              </w:rPr>
            </w:pPr>
            <w:r w:rsidRPr="00B27FC4">
              <w:rPr>
                <w:rFonts w:asciiTheme="minorHAnsi" w:eastAsia="標楷體" w:hAnsiTheme="minorHAnsi" w:cstheme="minorBidi" w:hint="eastAsia"/>
                <w:color w:val="0000FF"/>
              </w:rPr>
              <w:t>協助數位化程度較高的中小企業發展前瞻數位創新試驗，並帶動數位化程度較低的中小微企業提升數位營運能力</w:t>
            </w:r>
            <w:r w:rsidRPr="00166DAC">
              <w:rPr>
                <w:rFonts w:cs="Calibri" w:hint="eastAsia"/>
              </w:rPr>
              <w:t>。</w:t>
            </w:r>
          </w:p>
          <w:p w:rsidR="007750EE" w:rsidRPr="00B27FC4" w:rsidRDefault="007750EE" w:rsidP="00B27FC4">
            <w:pPr>
              <w:spacing w:line="300" w:lineRule="exact"/>
              <w:rPr>
                <w:rFonts w:ascii="標楷體" w:eastAsia="標楷體" w:hAnsi="標楷體"/>
                <w:color w:val="0000FF"/>
              </w:rPr>
            </w:pPr>
          </w:p>
          <w:p w:rsidR="007750EE" w:rsidRDefault="00B27FC4" w:rsidP="00E82153">
            <w:pPr>
              <w:spacing w:line="300" w:lineRule="exact"/>
              <w:rPr>
                <w:rFonts w:eastAsia="標楷體" w:hint="eastAsia"/>
                <w:color w:val="0000FF"/>
              </w:rPr>
            </w:pPr>
            <w:r w:rsidRPr="00E82153">
              <w:rPr>
                <w:rFonts w:eastAsia="標楷體" w:hint="eastAsia"/>
                <w:color w:val="0000FF"/>
              </w:rPr>
              <w:t>110~</w:t>
            </w:r>
            <w:proofErr w:type="gramStart"/>
            <w:r w:rsidRPr="00E82153">
              <w:rPr>
                <w:rFonts w:eastAsia="標楷體" w:hint="eastAsia"/>
                <w:color w:val="0000FF"/>
              </w:rPr>
              <w:t>111</w:t>
            </w:r>
            <w:proofErr w:type="gramEnd"/>
            <w:r w:rsidR="007750EE" w:rsidRPr="00E82153">
              <w:rPr>
                <w:rFonts w:eastAsia="標楷體" w:hint="eastAsia"/>
                <w:color w:val="0000FF"/>
              </w:rPr>
              <w:t>年度完成</w:t>
            </w:r>
            <w:r w:rsidRPr="00E82153">
              <w:rPr>
                <w:rFonts w:eastAsia="標楷體" w:hint="eastAsia"/>
                <w:color w:val="0000FF"/>
              </w:rPr>
              <w:t>雲世代中小企業數位轉型策略藍圖</w:t>
            </w:r>
            <w:r w:rsidRPr="00E82153">
              <w:rPr>
                <w:rFonts w:eastAsia="標楷體" w:hint="eastAsia"/>
                <w:color w:val="0000FF"/>
              </w:rPr>
              <w:t>1</w:t>
            </w:r>
            <w:r w:rsidRPr="00E82153">
              <w:rPr>
                <w:rFonts w:eastAsia="標楷體" w:hint="eastAsia"/>
                <w:color w:val="0000FF"/>
              </w:rPr>
              <w:t>式</w:t>
            </w:r>
            <w:r w:rsidR="00E82153" w:rsidRPr="00E82153">
              <w:rPr>
                <w:rFonts w:eastAsia="標楷體" w:hint="eastAsia"/>
                <w:color w:val="0000FF"/>
              </w:rPr>
              <w:t>、</w:t>
            </w:r>
            <w:r w:rsidRPr="00E82153">
              <w:rPr>
                <w:rFonts w:eastAsia="標楷體" w:hint="eastAsia"/>
                <w:color w:val="0000FF"/>
              </w:rPr>
              <w:t>國際數位轉型趨勢調</w:t>
            </w:r>
            <w:proofErr w:type="gramStart"/>
            <w:r w:rsidRPr="00E82153">
              <w:rPr>
                <w:rFonts w:eastAsia="標楷體" w:hint="eastAsia"/>
                <w:color w:val="0000FF"/>
              </w:rPr>
              <w:t>研</w:t>
            </w:r>
            <w:proofErr w:type="gramEnd"/>
            <w:r w:rsidRPr="00E82153">
              <w:rPr>
                <w:rFonts w:eastAsia="標楷體" w:hint="eastAsia"/>
                <w:color w:val="0000FF"/>
              </w:rPr>
              <w:t>2</w:t>
            </w:r>
            <w:r w:rsidRPr="00E82153">
              <w:rPr>
                <w:rFonts w:eastAsia="標楷體" w:hint="eastAsia"/>
                <w:color w:val="0000FF"/>
              </w:rPr>
              <w:t>份、國內中小企業轉型需求調查</w:t>
            </w:r>
            <w:r w:rsidRPr="00E82153">
              <w:rPr>
                <w:rFonts w:eastAsia="標楷體" w:hint="eastAsia"/>
                <w:color w:val="0000FF"/>
              </w:rPr>
              <w:t>2</w:t>
            </w:r>
            <w:r w:rsidRPr="00E82153">
              <w:rPr>
                <w:rFonts w:eastAsia="標楷體" w:hint="eastAsia"/>
                <w:color w:val="0000FF"/>
              </w:rPr>
              <w:t>份、整體效益評估調查</w:t>
            </w:r>
            <w:r w:rsidRPr="00E82153">
              <w:rPr>
                <w:rFonts w:eastAsia="標楷體" w:hint="eastAsia"/>
                <w:color w:val="0000FF"/>
              </w:rPr>
              <w:t>2</w:t>
            </w:r>
            <w:r w:rsidRPr="00E82153">
              <w:rPr>
                <w:rFonts w:eastAsia="標楷體" w:hint="eastAsia"/>
                <w:color w:val="0000FF"/>
              </w:rPr>
              <w:t>份、建立計畫管理及資源發放平台</w:t>
            </w:r>
            <w:r w:rsidRPr="00E82153">
              <w:rPr>
                <w:rFonts w:eastAsia="標楷體" w:hint="eastAsia"/>
                <w:color w:val="0000FF"/>
              </w:rPr>
              <w:t>1</w:t>
            </w:r>
            <w:r w:rsidRPr="00E82153">
              <w:rPr>
                <w:rFonts w:eastAsia="標楷體" w:hint="eastAsia"/>
                <w:color w:val="0000FF"/>
              </w:rPr>
              <w:t>式、</w:t>
            </w:r>
            <w:r w:rsidR="00E82153" w:rsidRPr="00E82153">
              <w:rPr>
                <w:rFonts w:eastAsia="標楷體" w:hint="eastAsia"/>
                <w:color w:val="0000FF"/>
              </w:rPr>
              <w:t>推動</w:t>
            </w:r>
            <w:r w:rsidR="00E82153" w:rsidRPr="00E82153">
              <w:rPr>
                <w:rFonts w:eastAsia="標楷體" w:hint="eastAsia"/>
                <w:color w:val="0000FF"/>
              </w:rPr>
              <w:t>12,800</w:t>
            </w:r>
            <w:r w:rsidR="00E82153" w:rsidRPr="00E82153">
              <w:rPr>
                <w:rFonts w:eastAsia="標楷體" w:hint="eastAsia"/>
                <w:color w:val="0000FF"/>
              </w:rPr>
              <w:t>家次中小企業數位升級，提升企業數位程度</w:t>
            </w:r>
            <w:r w:rsidR="00E82153" w:rsidRPr="00E82153">
              <w:rPr>
                <w:rFonts w:eastAsia="標楷體" w:hint="eastAsia"/>
                <w:color w:val="0000FF"/>
              </w:rPr>
              <w:t>1</w:t>
            </w:r>
            <w:r w:rsidR="00E82153" w:rsidRPr="00E82153">
              <w:rPr>
                <w:rFonts w:eastAsia="標楷體" w:hint="eastAsia"/>
                <w:color w:val="0000FF"/>
              </w:rPr>
              <w:t>級、推動</w:t>
            </w:r>
            <w:r w:rsidR="00E82153" w:rsidRPr="00E82153">
              <w:rPr>
                <w:rFonts w:eastAsia="標楷體" w:hint="eastAsia"/>
                <w:color w:val="0000FF"/>
              </w:rPr>
              <w:t>2</w:t>
            </w:r>
            <w:r w:rsidR="00E82153" w:rsidRPr="00E82153">
              <w:rPr>
                <w:rFonts w:eastAsia="標楷體" w:hint="eastAsia"/>
                <w:color w:val="0000FF"/>
              </w:rPr>
              <w:t>前瞻創新主題、</w:t>
            </w:r>
            <w:r w:rsidR="00E82153" w:rsidRPr="00E82153">
              <w:rPr>
                <w:rFonts w:eastAsia="標楷體"/>
                <w:color w:val="0000FF"/>
              </w:rPr>
              <w:t>建置中小企業數位轉型個案中心，</w:t>
            </w:r>
            <w:r w:rsidR="00E82153" w:rsidRPr="00E82153">
              <w:rPr>
                <w:rFonts w:eastAsia="標楷體" w:hint="eastAsia"/>
                <w:color w:val="0000FF"/>
              </w:rPr>
              <w:t>發表典範案例</w:t>
            </w:r>
            <w:r w:rsidR="00E82153" w:rsidRPr="00E82153">
              <w:rPr>
                <w:rFonts w:eastAsia="標楷體" w:hint="eastAsia"/>
                <w:color w:val="0000FF"/>
              </w:rPr>
              <w:t>80</w:t>
            </w:r>
            <w:r w:rsidR="00E82153" w:rsidRPr="00E82153">
              <w:rPr>
                <w:rFonts w:eastAsia="標楷體"/>
                <w:color w:val="0000FF"/>
              </w:rPr>
              <w:t>篇</w:t>
            </w:r>
            <w:r w:rsidR="00E82153" w:rsidRPr="00E82153">
              <w:rPr>
                <w:rFonts w:eastAsia="標楷體" w:hint="eastAsia"/>
                <w:color w:val="0000FF"/>
              </w:rPr>
              <w:t>及國際曝光</w:t>
            </w:r>
            <w:r w:rsidR="00E82153" w:rsidRPr="00E82153">
              <w:rPr>
                <w:rFonts w:eastAsia="標楷體" w:hint="eastAsia"/>
                <w:color w:val="0000FF"/>
              </w:rPr>
              <w:t>2</w:t>
            </w:r>
            <w:r w:rsidR="00E82153" w:rsidRPr="00E82153">
              <w:rPr>
                <w:rFonts w:eastAsia="標楷體" w:hint="eastAsia"/>
                <w:color w:val="0000FF"/>
              </w:rPr>
              <w:t>篇、促進轉型知識外溢擴散</w:t>
            </w:r>
            <w:r w:rsidR="00E82153" w:rsidRPr="00E82153">
              <w:rPr>
                <w:rFonts w:eastAsia="標楷體" w:hint="eastAsia"/>
                <w:color w:val="0000FF"/>
              </w:rPr>
              <w:t>800</w:t>
            </w:r>
            <w:r w:rsidR="00E82153" w:rsidRPr="00E82153">
              <w:rPr>
                <w:rFonts w:eastAsia="標楷體" w:hint="eastAsia"/>
                <w:color w:val="0000FF"/>
              </w:rPr>
              <w:t>家</w:t>
            </w:r>
            <w:r w:rsidR="007750EE" w:rsidRPr="00E82153">
              <w:rPr>
                <w:rFonts w:eastAsia="標楷體" w:hint="eastAsia"/>
                <w:color w:val="0000FF"/>
              </w:rPr>
              <w:t>。</w:t>
            </w:r>
          </w:p>
          <w:p w:rsidR="00051D7C" w:rsidRDefault="00051D7C" w:rsidP="00E82153">
            <w:pPr>
              <w:spacing w:line="300" w:lineRule="exact"/>
              <w:rPr>
                <w:rFonts w:eastAsia="標楷體" w:hint="eastAsia"/>
                <w:color w:val="0000FF"/>
              </w:rPr>
            </w:pPr>
          </w:p>
          <w:p w:rsidR="00051D7C" w:rsidRPr="00051D7C" w:rsidRDefault="00051D7C" w:rsidP="00051D7C">
            <w:pPr>
              <w:spacing w:line="300" w:lineRule="exact"/>
              <w:rPr>
                <w:rFonts w:eastAsia="標楷體"/>
                <w:color w:val="0000FF"/>
              </w:rPr>
            </w:pPr>
            <w:r w:rsidRPr="00051D7C">
              <w:rPr>
                <w:rFonts w:eastAsia="標楷體" w:hint="eastAsia"/>
                <w:color w:val="0000FF"/>
              </w:rPr>
              <w:t>全程</w:t>
            </w:r>
            <w:r w:rsidRPr="00051D7C">
              <w:rPr>
                <w:rFonts w:eastAsia="標楷體" w:hint="eastAsia"/>
                <w:color w:val="0000FF"/>
              </w:rPr>
              <w:t>(</w:t>
            </w:r>
            <w:r w:rsidRPr="00051D7C">
              <w:rPr>
                <w:rFonts w:eastAsia="標楷體"/>
                <w:color w:val="0000FF"/>
              </w:rPr>
              <w:t>110</w:t>
            </w:r>
            <w:r w:rsidRPr="00051D7C">
              <w:rPr>
                <w:rFonts w:eastAsia="標楷體" w:hint="eastAsia"/>
                <w:color w:val="0000FF"/>
              </w:rPr>
              <w:t>~114</w:t>
            </w:r>
            <w:r w:rsidRPr="00051D7C">
              <w:rPr>
                <w:rFonts w:eastAsia="標楷體" w:hint="eastAsia"/>
                <w:color w:val="0000FF"/>
              </w:rPr>
              <w:t>年</w:t>
            </w:r>
            <w:r w:rsidRPr="00051D7C">
              <w:rPr>
                <w:rFonts w:eastAsia="標楷體" w:hint="eastAsia"/>
                <w:color w:val="0000FF"/>
              </w:rPr>
              <w:t>8</w:t>
            </w:r>
            <w:r w:rsidRPr="00051D7C">
              <w:rPr>
                <w:rFonts w:eastAsia="標楷體" w:hint="eastAsia"/>
                <w:color w:val="0000FF"/>
              </w:rPr>
              <w:t>月</w:t>
            </w:r>
            <w:r w:rsidRPr="00051D7C">
              <w:rPr>
                <w:rFonts w:eastAsia="標楷體" w:hint="eastAsia"/>
                <w:color w:val="0000FF"/>
              </w:rPr>
              <w:t>)</w:t>
            </w:r>
            <w:r w:rsidRPr="00051D7C">
              <w:rPr>
                <w:rFonts w:eastAsia="標楷體" w:hint="eastAsia"/>
                <w:color w:val="0000FF"/>
              </w:rPr>
              <w:t>完成雲世代中小企業數位轉型策略藍圖</w:t>
            </w:r>
            <w:r w:rsidRPr="00051D7C">
              <w:rPr>
                <w:rFonts w:eastAsia="標楷體" w:hint="eastAsia"/>
                <w:color w:val="0000FF"/>
              </w:rPr>
              <w:t>1</w:t>
            </w:r>
            <w:r w:rsidRPr="00051D7C">
              <w:rPr>
                <w:rFonts w:eastAsia="標楷體" w:hint="eastAsia"/>
                <w:color w:val="0000FF"/>
              </w:rPr>
              <w:t>式</w:t>
            </w:r>
            <w:r>
              <w:rPr>
                <w:rFonts w:eastAsia="標楷體" w:hint="eastAsia"/>
                <w:color w:val="0000FF"/>
              </w:rPr>
              <w:t>、</w:t>
            </w:r>
            <w:r w:rsidRPr="00051D7C">
              <w:rPr>
                <w:rFonts w:eastAsia="標楷體" w:hint="eastAsia"/>
                <w:color w:val="0000FF"/>
              </w:rPr>
              <w:t>施政白皮書</w:t>
            </w:r>
            <w:r w:rsidRPr="00051D7C">
              <w:rPr>
                <w:rFonts w:eastAsia="標楷體" w:hint="eastAsia"/>
                <w:color w:val="0000FF"/>
              </w:rPr>
              <w:t>1</w:t>
            </w:r>
            <w:r w:rsidRPr="00051D7C">
              <w:rPr>
                <w:rFonts w:eastAsia="標楷體" w:hint="eastAsia"/>
                <w:color w:val="0000FF"/>
              </w:rPr>
              <w:t>式</w:t>
            </w:r>
            <w:r>
              <w:rPr>
                <w:rFonts w:eastAsia="標楷體" w:hint="eastAsia"/>
                <w:color w:val="0000FF"/>
              </w:rPr>
              <w:t>、</w:t>
            </w:r>
            <w:r w:rsidRPr="00051D7C">
              <w:rPr>
                <w:rFonts w:eastAsia="標楷體" w:hint="eastAsia"/>
                <w:color w:val="0000FF"/>
              </w:rPr>
              <w:t>國際數位轉型趨勢調研</w:t>
            </w:r>
            <w:r w:rsidRPr="00051D7C">
              <w:rPr>
                <w:rFonts w:eastAsia="標楷體" w:hint="eastAsia"/>
                <w:color w:val="0000FF"/>
              </w:rPr>
              <w:t>4</w:t>
            </w:r>
            <w:r w:rsidRPr="00051D7C">
              <w:rPr>
                <w:rFonts w:eastAsia="標楷體" w:hint="eastAsia"/>
                <w:color w:val="0000FF"/>
              </w:rPr>
              <w:t>份、國內中小企業轉型需求調查</w:t>
            </w:r>
            <w:r w:rsidRPr="00051D7C">
              <w:rPr>
                <w:rFonts w:eastAsia="標楷體" w:hint="eastAsia"/>
                <w:color w:val="0000FF"/>
              </w:rPr>
              <w:t>4</w:t>
            </w:r>
            <w:r w:rsidRPr="00051D7C">
              <w:rPr>
                <w:rFonts w:eastAsia="標楷體" w:hint="eastAsia"/>
                <w:color w:val="0000FF"/>
              </w:rPr>
              <w:t>份、整體效益評估調查</w:t>
            </w:r>
            <w:r w:rsidRPr="00051D7C">
              <w:rPr>
                <w:rFonts w:eastAsia="標楷體" w:hint="eastAsia"/>
                <w:color w:val="0000FF"/>
              </w:rPr>
              <w:t>4</w:t>
            </w:r>
            <w:r w:rsidRPr="00051D7C">
              <w:rPr>
                <w:rFonts w:eastAsia="標楷體" w:hint="eastAsia"/>
                <w:color w:val="0000FF"/>
              </w:rPr>
              <w:t>份</w:t>
            </w:r>
            <w:r w:rsidRPr="00051D7C">
              <w:rPr>
                <w:rFonts w:eastAsia="標楷體" w:hint="eastAsia"/>
                <w:color w:val="0000FF"/>
              </w:rPr>
              <w:t>、</w:t>
            </w:r>
            <w:r w:rsidRPr="00E82153">
              <w:rPr>
                <w:rFonts w:eastAsia="標楷體" w:hint="eastAsia"/>
                <w:color w:val="0000FF"/>
              </w:rPr>
              <w:t>建立計畫管理及資源發放平台</w:t>
            </w:r>
            <w:r w:rsidRPr="00E82153">
              <w:rPr>
                <w:rFonts w:eastAsia="標楷體" w:hint="eastAsia"/>
                <w:color w:val="0000FF"/>
              </w:rPr>
              <w:t>1</w:t>
            </w:r>
            <w:r w:rsidRPr="00E82153">
              <w:rPr>
                <w:rFonts w:eastAsia="標楷體" w:hint="eastAsia"/>
                <w:color w:val="0000FF"/>
              </w:rPr>
              <w:t>式、推動</w:t>
            </w:r>
            <w:r>
              <w:rPr>
                <w:rFonts w:eastAsia="標楷體" w:hint="eastAsia"/>
                <w:color w:val="0000FF"/>
              </w:rPr>
              <w:t>3</w:t>
            </w:r>
            <w:r w:rsidRPr="00E82153">
              <w:rPr>
                <w:rFonts w:eastAsia="標楷體" w:hint="eastAsia"/>
                <w:color w:val="0000FF"/>
              </w:rPr>
              <w:t>2,</w:t>
            </w:r>
            <w:r>
              <w:rPr>
                <w:rFonts w:eastAsia="標楷體" w:hint="eastAsia"/>
                <w:color w:val="0000FF"/>
              </w:rPr>
              <w:t>0</w:t>
            </w:r>
            <w:r w:rsidRPr="00E82153">
              <w:rPr>
                <w:rFonts w:eastAsia="標楷體" w:hint="eastAsia"/>
                <w:color w:val="0000FF"/>
              </w:rPr>
              <w:t>00</w:t>
            </w:r>
            <w:r w:rsidRPr="00E82153">
              <w:rPr>
                <w:rFonts w:eastAsia="標楷體" w:hint="eastAsia"/>
                <w:color w:val="0000FF"/>
              </w:rPr>
              <w:t>家次中小企業數位升級，提升企業數位程度</w:t>
            </w:r>
            <w:r w:rsidRPr="00E82153">
              <w:rPr>
                <w:rFonts w:eastAsia="標楷體" w:hint="eastAsia"/>
                <w:color w:val="0000FF"/>
              </w:rPr>
              <w:t>1</w:t>
            </w:r>
            <w:r w:rsidRPr="00E82153">
              <w:rPr>
                <w:rFonts w:eastAsia="標楷體" w:hint="eastAsia"/>
                <w:color w:val="0000FF"/>
              </w:rPr>
              <w:t>級、推動</w:t>
            </w:r>
            <w:r>
              <w:rPr>
                <w:rFonts w:eastAsia="標楷體" w:hint="eastAsia"/>
                <w:color w:val="0000FF"/>
              </w:rPr>
              <w:t>5</w:t>
            </w:r>
            <w:r w:rsidRPr="00E82153">
              <w:rPr>
                <w:rFonts w:eastAsia="標楷體" w:hint="eastAsia"/>
                <w:color w:val="0000FF"/>
              </w:rPr>
              <w:t>前瞻創新主題、</w:t>
            </w:r>
            <w:r w:rsidRPr="00E82153">
              <w:rPr>
                <w:rFonts w:eastAsia="標楷體"/>
                <w:color w:val="0000FF"/>
              </w:rPr>
              <w:t>建置中小企業數位轉型個案中心，</w:t>
            </w:r>
            <w:r w:rsidRPr="00E82153">
              <w:rPr>
                <w:rFonts w:eastAsia="標楷體" w:hint="eastAsia"/>
                <w:color w:val="0000FF"/>
              </w:rPr>
              <w:t>發表典範案例</w:t>
            </w:r>
            <w:r>
              <w:rPr>
                <w:rFonts w:eastAsia="標楷體" w:hint="eastAsia"/>
                <w:color w:val="0000FF"/>
              </w:rPr>
              <w:t>200</w:t>
            </w:r>
            <w:r w:rsidRPr="00E82153">
              <w:rPr>
                <w:rFonts w:eastAsia="標楷體"/>
                <w:color w:val="0000FF"/>
              </w:rPr>
              <w:t>篇</w:t>
            </w:r>
            <w:r w:rsidRPr="00E82153">
              <w:rPr>
                <w:rFonts w:eastAsia="標楷體" w:hint="eastAsia"/>
                <w:color w:val="0000FF"/>
              </w:rPr>
              <w:t>及國際曝光</w:t>
            </w:r>
            <w:r>
              <w:rPr>
                <w:rFonts w:eastAsia="標楷體" w:hint="eastAsia"/>
                <w:color w:val="0000FF"/>
              </w:rPr>
              <w:t>5</w:t>
            </w:r>
            <w:r w:rsidRPr="00E82153">
              <w:rPr>
                <w:rFonts w:eastAsia="標楷體" w:hint="eastAsia"/>
                <w:color w:val="0000FF"/>
              </w:rPr>
              <w:t>篇、</w:t>
            </w:r>
            <w:r w:rsidRPr="00051D7C">
              <w:rPr>
                <w:rFonts w:eastAsia="標楷體" w:hint="eastAsia"/>
                <w:color w:val="0000FF"/>
              </w:rPr>
              <w:t>培育數位轉型青年種子人員</w:t>
            </w:r>
            <w:r w:rsidRPr="00051D7C">
              <w:rPr>
                <w:rFonts w:eastAsia="標楷體" w:hint="eastAsia"/>
                <w:color w:val="0000FF"/>
              </w:rPr>
              <w:t>750</w:t>
            </w:r>
            <w:r w:rsidRPr="00051D7C">
              <w:rPr>
                <w:rFonts w:eastAsia="標楷體" w:hint="eastAsia"/>
                <w:color w:val="0000FF"/>
              </w:rPr>
              <w:t>人</w:t>
            </w:r>
            <w:r>
              <w:rPr>
                <w:rFonts w:eastAsia="標楷體" w:hint="eastAsia"/>
                <w:color w:val="0000FF"/>
              </w:rPr>
              <w:t>、</w:t>
            </w:r>
            <w:bookmarkStart w:id="0" w:name="_GoBack"/>
            <w:bookmarkEnd w:id="0"/>
            <w:r w:rsidRPr="00E82153">
              <w:rPr>
                <w:rFonts w:eastAsia="標楷體" w:hint="eastAsia"/>
                <w:color w:val="0000FF"/>
              </w:rPr>
              <w:t>促進轉型知識外溢擴散</w:t>
            </w:r>
            <w:r>
              <w:rPr>
                <w:rFonts w:eastAsia="標楷體" w:hint="eastAsia"/>
                <w:color w:val="0000FF"/>
              </w:rPr>
              <w:t>2,0</w:t>
            </w:r>
            <w:r w:rsidRPr="00E82153">
              <w:rPr>
                <w:rFonts w:eastAsia="標楷體" w:hint="eastAsia"/>
                <w:color w:val="0000FF"/>
              </w:rPr>
              <w:t>00</w:t>
            </w:r>
            <w:r w:rsidRPr="00E82153">
              <w:rPr>
                <w:rFonts w:eastAsia="標楷體" w:hint="eastAsia"/>
                <w:color w:val="0000FF"/>
              </w:rPr>
              <w:t>家。</w:t>
            </w:r>
          </w:p>
        </w:tc>
      </w:tr>
      <w:tr w:rsidR="00EB2D91" w:rsidRPr="00EB2D91" w:rsidTr="00BB4CBD">
        <w:trPr>
          <w:trHeight w:val="485"/>
          <w:jc w:val="center"/>
        </w:trPr>
        <w:tc>
          <w:tcPr>
            <w:tcW w:w="17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DC557F">
            <w:pPr>
              <w:spacing w:line="259" w:lineRule="auto"/>
              <w:rPr>
                <w:rFonts w:ascii="Calibri" w:eastAsia="標楷體" w:hAnsi="Calibri" w:cs="Times New Roman"/>
              </w:rPr>
            </w:pPr>
            <w:r w:rsidRPr="00EB2D91">
              <w:rPr>
                <w:rFonts w:ascii="Calibri" w:eastAsia="標楷體" w:hAnsi="Calibri" w:cs="Times New Roman"/>
              </w:rPr>
              <w:lastRenderedPageBreak/>
              <w:t>中英文關鍵詞</w:t>
            </w:r>
          </w:p>
        </w:tc>
        <w:tc>
          <w:tcPr>
            <w:tcW w:w="8278" w:type="dxa"/>
            <w:tcBorders>
              <w:top w:val="single" w:sz="4" w:space="0" w:color="auto"/>
              <w:left w:val="single" w:sz="4" w:space="0" w:color="000000"/>
              <w:bottom w:val="single" w:sz="4" w:space="0" w:color="000000"/>
              <w:right w:val="single" w:sz="4" w:space="0" w:color="000000"/>
            </w:tcBorders>
            <w:vAlign w:val="center"/>
          </w:tcPr>
          <w:p w:rsidR="00E82153" w:rsidRPr="00EB6721" w:rsidRDefault="00E82153" w:rsidP="00E82153">
            <w:pPr>
              <w:spacing w:line="240" w:lineRule="exact"/>
              <w:jc w:val="both"/>
              <w:rPr>
                <w:rFonts w:ascii="標楷體" w:eastAsia="標楷體" w:hAnsi="標楷體" w:cs="Calibri"/>
                <w:color w:val="0000FF"/>
                <w:kern w:val="0"/>
              </w:rPr>
            </w:pPr>
            <w:r w:rsidRPr="00EB6721">
              <w:rPr>
                <w:rFonts w:ascii="標楷體" w:eastAsia="標楷體" w:hAnsi="標楷體" w:cs="Calibri"/>
                <w:color w:val="0000FF"/>
                <w:kern w:val="0"/>
              </w:rPr>
              <w:t>中小企業、數位轉型、數位卷、平台即服務、雲端導入、數位轉型青年協作團</w:t>
            </w:r>
          </w:p>
          <w:p w:rsidR="00E82153" w:rsidRPr="00EB6721" w:rsidRDefault="00E82153" w:rsidP="00E82153">
            <w:pPr>
              <w:spacing w:line="240" w:lineRule="exact"/>
              <w:jc w:val="both"/>
              <w:rPr>
                <w:rFonts w:ascii="標楷體" w:eastAsia="標楷體" w:hAnsi="標楷體" w:cs="Calibri"/>
                <w:color w:val="0000FF"/>
                <w:kern w:val="0"/>
              </w:rPr>
            </w:pPr>
          </w:p>
          <w:p w:rsidR="00432A91" w:rsidRPr="00432A91" w:rsidRDefault="00E82153" w:rsidP="00E82153">
            <w:pPr>
              <w:spacing w:line="240" w:lineRule="exact"/>
              <w:rPr>
                <w:rFonts w:ascii="標楷體" w:eastAsia="標楷體" w:hAnsi="標楷體"/>
                <w:bCs/>
                <w:color w:val="000000" w:themeColor="text1"/>
                <w:sz w:val="28"/>
                <w:szCs w:val="28"/>
              </w:rPr>
            </w:pPr>
            <w:r w:rsidRPr="00EB6721">
              <w:rPr>
                <w:rFonts w:ascii="標楷體" w:eastAsia="標楷體" w:hAnsi="標楷體" w:cs="Calibri"/>
                <w:color w:val="0000FF"/>
                <w:kern w:val="0"/>
              </w:rPr>
              <w:t>Smal</w:t>
            </w:r>
            <w:r>
              <w:rPr>
                <w:rFonts w:ascii="標楷體" w:eastAsia="標楷體" w:hAnsi="標楷體" w:cs="Calibri"/>
                <w:color w:val="0000FF"/>
                <w:kern w:val="0"/>
              </w:rPr>
              <w:t>l and medium enterprises, SMEs</w:t>
            </w:r>
            <w:r w:rsidRPr="00EB6721">
              <w:rPr>
                <w:rFonts w:ascii="標楷體" w:eastAsia="標楷體" w:hAnsi="標楷體" w:cs="Calibri"/>
                <w:color w:val="0000FF"/>
                <w:kern w:val="0"/>
              </w:rPr>
              <w:t>、Digital Transformation、Digital Voucher、platform as a service、cloud adoption、Association of Taiwan Young Professionals Em</w:t>
            </w:r>
            <w:r>
              <w:rPr>
                <w:rFonts w:ascii="標楷體" w:eastAsia="標楷體" w:hAnsi="標楷體" w:cs="Calibri"/>
                <w:color w:val="0000FF"/>
                <w:kern w:val="0"/>
              </w:rPr>
              <w:t>powering Digital Transformation</w:t>
            </w:r>
          </w:p>
        </w:tc>
      </w:tr>
    </w:tbl>
    <w:p w:rsidR="00EB2D91" w:rsidRPr="00BB4CBD" w:rsidRDefault="00EB2D91" w:rsidP="00BB4CBD">
      <w:pPr>
        <w:rPr>
          <w:rFonts w:ascii="標楷體" w:eastAsia="標楷體" w:hAnsi="標楷體" w:cs="Calibri"/>
          <w:kern w:val="0"/>
          <w:sz w:val="28"/>
          <w:szCs w:val="28"/>
        </w:rPr>
      </w:pPr>
    </w:p>
    <w:sectPr w:rsidR="00EB2D91" w:rsidRPr="00BB4CBD" w:rsidSect="007750EE">
      <w:pgSz w:w="11906" w:h="16838"/>
      <w:pgMar w:top="1134"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4E" w:rsidRDefault="007B134E" w:rsidP="00EB2D91">
      <w:r>
        <w:separator/>
      </w:r>
    </w:p>
  </w:endnote>
  <w:endnote w:type="continuationSeparator" w:id="0">
    <w:p w:rsidR="007B134E" w:rsidRDefault="007B134E" w:rsidP="00EB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4E" w:rsidRDefault="007B134E" w:rsidP="00EB2D91">
      <w:r>
        <w:separator/>
      </w:r>
    </w:p>
  </w:footnote>
  <w:footnote w:type="continuationSeparator" w:id="0">
    <w:p w:rsidR="007B134E" w:rsidRDefault="007B134E" w:rsidP="00EB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8F7"/>
    <w:multiLevelType w:val="hybridMultilevel"/>
    <w:tmpl w:val="CC92904E"/>
    <w:lvl w:ilvl="0" w:tplc="1E868426">
      <w:start w:val="1"/>
      <w:numFmt w:val="taiwaneseCountingThousand"/>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EA7C47"/>
    <w:multiLevelType w:val="hybridMultilevel"/>
    <w:tmpl w:val="F73AFA28"/>
    <w:lvl w:ilvl="0" w:tplc="E940DE7A">
      <w:start w:val="1"/>
      <w:numFmt w:val="decimal"/>
      <w:lvlText w:val="(%1)"/>
      <w:lvlJc w:val="left"/>
      <w:pPr>
        <w:ind w:left="720" w:hanging="720"/>
      </w:pPr>
      <w:rPr>
        <w:rFonts w:hint="default"/>
      </w:rPr>
    </w:lvl>
    <w:lvl w:ilvl="1" w:tplc="48BA53C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496B7D"/>
    <w:multiLevelType w:val="hybridMultilevel"/>
    <w:tmpl w:val="14EAA532"/>
    <w:lvl w:ilvl="0" w:tplc="0CCA0C16">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A965CA8"/>
    <w:multiLevelType w:val="hybridMultilevel"/>
    <w:tmpl w:val="94483370"/>
    <w:lvl w:ilvl="0" w:tplc="C3DA27B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02450A"/>
    <w:multiLevelType w:val="hybridMultilevel"/>
    <w:tmpl w:val="2E32815C"/>
    <w:lvl w:ilvl="0" w:tplc="4A7264F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0C96BB2"/>
    <w:multiLevelType w:val="hybridMultilevel"/>
    <w:tmpl w:val="09181A82"/>
    <w:lvl w:ilvl="0" w:tplc="5F2A42D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35005E"/>
    <w:multiLevelType w:val="hybridMultilevel"/>
    <w:tmpl w:val="9F10C3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FEE7378"/>
    <w:multiLevelType w:val="hybridMultilevel"/>
    <w:tmpl w:val="4EE4FC68"/>
    <w:lvl w:ilvl="0" w:tplc="CA829098">
      <w:start w:val="1"/>
      <w:numFmt w:val="decimal"/>
      <w:lvlText w:val="(A%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BA13DCF"/>
    <w:multiLevelType w:val="hybridMultilevel"/>
    <w:tmpl w:val="C6F06E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E934430"/>
    <w:multiLevelType w:val="hybridMultilevel"/>
    <w:tmpl w:val="18E67A02"/>
    <w:lvl w:ilvl="0" w:tplc="04090015">
      <w:start w:val="1"/>
      <w:numFmt w:val="taiwaneseCountingThousand"/>
      <w:lvlText w:val="%1、"/>
      <w:lvlJc w:val="left"/>
      <w:pPr>
        <w:ind w:left="480" w:hanging="480"/>
      </w:pPr>
    </w:lvl>
    <w:lvl w:ilvl="1" w:tplc="2FBA39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3960075"/>
    <w:multiLevelType w:val="hybridMultilevel"/>
    <w:tmpl w:val="A5565DB4"/>
    <w:lvl w:ilvl="0" w:tplc="448067D8">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4A36DC5"/>
    <w:multiLevelType w:val="hybridMultilevel"/>
    <w:tmpl w:val="535A1A16"/>
    <w:lvl w:ilvl="0" w:tplc="FF0C374A">
      <w:start w:val="1"/>
      <w:numFmt w:val="taiwaneseCountingThousand"/>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10"/>
  </w:num>
  <w:num w:numId="5">
    <w:abstractNumId w:val="5"/>
  </w:num>
  <w:num w:numId="6">
    <w:abstractNumId w:val="3"/>
  </w:num>
  <w:num w:numId="7">
    <w:abstractNumId w:val="11"/>
  </w:num>
  <w:num w:numId="8">
    <w:abstractNumId w:val="6"/>
  </w:num>
  <w:num w:numId="9">
    <w:abstractNumId w:val="1"/>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6"/>
    <w:rsid w:val="000227CD"/>
    <w:rsid w:val="00051D7C"/>
    <w:rsid w:val="00095BCE"/>
    <w:rsid w:val="000A08F3"/>
    <w:rsid w:val="00175969"/>
    <w:rsid w:val="001951AC"/>
    <w:rsid w:val="00432A91"/>
    <w:rsid w:val="00564AA3"/>
    <w:rsid w:val="005C674D"/>
    <w:rsid w:val="00683C35"/>
    <w:rsid w:val="00696CB2"/>
    <w:rsid w:val="007750EE"/>
    <w:rsid w:val="007B134E"/>
    <w:rsid w:val="00824808"/>
    <w:rsid w:val="00897043"/>
    <w:rsid w:val="009842A1"/>
    <w:rsid w:val="00A801B2"/>
    <w:rsid w:val="00AE5D1C"/>
    <w:rsid w:val="00B0650D"/>
    <w:rsid w:val="00B27FC4"/>
    <w:rsid w:val="00BB4CBD"/>
    <w:rsid w:val="00BB6FDE"/>
    <w:rsid w:val="00BD3110"/>
    <w:rsid w:val="00C25940"/>
    <w:rsid w:val="00C66938"/>
    <w:rsid w:val="00C97DAA"/>
    <w:rsid w:val="00D54F2C"/>
    <w:rsid w:val="00D95DB1"/>
    <w:rsid w:val="00DE01F0"/>
    <w:rsid w:val="00E82153"/>
    <w:rsid w:val="00EA7783"/>
    <w:rsid w:val="00EB2D91"/>
    <w:rsid w:val="00F35A26"/>
    <w:rsid w:val="00F45B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 w:type="paragraph" w:styleId="a9">
    <w:name w:val="Body Text"/>
    <w:basedOn w:val="a"/>
    <w:link w:val="aa"/>
    <w:rsid w:val="00B27FC4"/>
    <w:pPr>
      <w:snapToGrid w:val="0"/>
      <w:spacing w:beforeLines="25" w:afterLines="25" w:line="300" w:lineRule="auto"/>
    </w:pPr>
    <w:rPr>
      <w:rFonts w:ascii="標楷體" w:eastAsia="標楷體" w:hAnsi="標楷體" w:cs="Times New Roman"/>
      <w:b/>
      <w:bCs/>
      <w:sz w:val="40"/>
      <w:szCs w:val="24"/>
    </w:rPr>
  </w:style>
  <w:style w:type="character" w:customStyle="1" w:styleId="aa">
    <w:name w:val="本文 字元"/>
    <w:basedOn w:val="a0"/>
    <w:link w:val="a9"/>
    <w:rsid w:val="00B27FC4"/>
    <w:rPr>
      <w:rFonts w:ascii="標楷體" w:eastAsia="標楷體" w:hAnsi="標楷體" w:cs="Times New Roman"/>
      <w:b/>
      <w:bCs/>
      <w:sz w:val="40"/>
      <w:szCs w:val="24"/>
    </w:rPr>
  </w:style>
  <w:style w:type="paragraph" w:styleId="ab">
    <w:name w:val="Balloon Text"/>
    <w:basedOn w:val="a"/>
    <w:link w:val="ac"/>
    <w:uiPriority w:val="99"/>
    <w:semiHidden/>
    <w:unhideWhenUsed/>
    <w:rsid w:val="00051D7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51D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 w:type="paragraph" w:styleId="a9">
    <w:name w:val="Body Text"/>
    <w:basedOn w:val="a"/>
    <w:link w:val="aa"/>
    <w:rsid w:val="00B27FC4"/>
    <w:pPr>
      <w:snapToGrid w:val="0"/>
      <w:spacing w:beforeLines="25" w:afterLines="25" w:line="300" w:lineRule="auto"/>
    </w:pPr>
    <w:rPr>
      <w:rFonts w:ascii="標楷體" w:eastAsia="標楷體" w:hAnsi="標楷體" w:cs="Times New Roman"/>
      <w:b/>
      <w:bCs/>
      <w:sz w:val="40"/>
      <w:szCs w:val="24"/>
    </w:rPr>
  </w:style>
  <w:style w:type="character" w:customStyle="1" w:styleId="aa">
    <w:name w:val="本文 字元"/>
    <w:basedOn w:val="a0"/>
    <w:link w:val="a9"/>
    <w:rsid w:val="00B27FC4"/>
    <w:rPr>
      <w:rFonts w:ascii="標楷體" w:eastAsia="標楷體" w:hAnsi="標楷體" w:cs="Times New Roman"/>
      <w:b/>
      <w:bCs/>
      <w:sz w:val="40"/>
      <w:szCs w:val="24"/>
    </w:rPr>
  </w:style>
  <w:style w:type="paragraph" w:styleId="ab">
    <w:name w:val="Balloon Text"/>
    <w:basedOn w:val="a"/>
    <w:link w:val="ac"/>
    <w:uiPriority w:val="99"/>
    <w:semiHidden/>
    <w:unhideWhenUsed/>
    <w:rsid w:val="00051D7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51D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林佳欣</dc:creator>
  <cp:lastModifiedBy>周玉涵</cp:lastModifiedBy>
  <cp:revision>5</cp:revision>
  <cp:lastPrinted>2020-08-18T09:50:00Z</cp:lastPrinted>
  <dcterms:created xsi:type="dcterms:W3CDTF">2020-08-18T07:48:00Z</dcterms:created>
  <dcterms:modified xsi:type="dcterms:W3CDTF">2020-08-18T09:53:00Z</dcterms:modified>
</cp:coreProperties>
</file>